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Open Sans" w:cs="Open Sans" w:hAnsi="Open Sans" w:eastAsia="Open Sans"/>
          <w:b w:val="1"/>
          <w:bCs w:val="1"/>
          <w:sz w:val="32"/>
          <w:szCs w:val="32"/>
        </w:rPr>
      </w:pPr>
      <w:r>
        <w:rPr>
          <w:rFonts w:ascii="Open Sans" w:cs="Open Sans" w:hAnsi="Open Sans" w:eastAsia="Open Sans"/>
          <w:b w:val="1"/>
          <w:bCs w:val="1"/>
          <w:sz w:val="32"/>
          <w:szCs w:val="32"/>
          <w:rtl w:val="0"/>
          <w:lang w:val="en-US"/>
        </w:rPr>
        <w:t>Energy Advice Programme (November 2019)</w:t>
      </w:r>
    </w:p>
    <w:p>
      <w:pPr>
        <w:pStyle w:val="Body"/>
        <w:jc w:val="center"/>
        <w:rPr>
          <w:rFonts w:ascii="Open Sans" w:cs="Open Sans" w:hAnsi="Open Sans" w:eastAsia="Open Sans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Open Sans" w:cs="Open Sans" w:hAnsi="Open Sans" w:eastAsia="Open Sans"/>
          <w:b w:val="1"/>
          <w:bCs w:val="1"/>
          <w:sz w:val="28"/>
          <w:szCs w:val="28"/>
        </w:rPr>
      </w:pPr>
      <w:r>
        <w:rPr>
          <w:rFonts w:ascii="Open Sans" w:cs="Open Sans" w:hAnsi="Open Sans" w:eastAsia="Open Sans"/>
          <w:b w:val="1"/>
          <w:bCs w:val="1"/>
          <w:sz w:val="28"/>
          <w:szCs w:val="28"/>
          <w:rtl w:val="0"/>
          <w:lang w:val="en-US"/>
        </w:rPr>
        <w:t>Information needed from client</w:t>
      </w:r>
    </w:p>
    <w:p>
      <w:pPr>
        <w:pStyle w:val="Body"/>
        <w:jc w:val="center"/>
        <w:rPr>
          <w:rFonts w:ascii="Open Sans" w:cs="Open Sans" w:hAnsi="Open Sans" w:eastAsia="Open Sans"/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How many people in the household?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How many dependents?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Age of Dependents?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What are the monthly household energy bills?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How many vehicles in household?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What is the household monthly income?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What is the INDIVIDUAL monthly income level?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Total priority debt amount?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Total number of priority debts?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Total non-priority debt amount?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Total number of non-priority debts?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Health condition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Benefits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Open Sans" w:cs="Open Sans" w:hAnsi="Open Sans" w:eastAsia="Open Sans"/>
          <w:b w:val="1"/>
          <w:bCs w:val="1"/>
        </w:rPr>
      </w:pPr>
    </w:p>
    <w:p>
      <w:pPr>
        <w:pStyle w:val="Body"/>
        <w:jc w:val="center"/>
        <w:rPr>
          <w:rFonts w:ascii="Open Sans" w:cs="Open Sans" w:hAnsi="Open Sans" w:eastAsia="Open Sans"/>
          <w:b w:val="1"/>
          <w:bCs w:val="1"/>
          <w:sz w:val="28"/>
          <w:szCs w:val="28"/>
        </w:rPr>
      </w:pPr>
      <w:r>
        <w:rPr>
          <w:rFonts w:ascii="Open Sans" w:cs="Open Sans" w:hAnsi="Open Sans" w:eastAsia="Open Sans"/>
          <w:b w:val="1"/>
          <w:bCs w:val="1"/>
          <w:sz w:val="28"/>
          <w:szCs w:val="28"/>
          <w:rtl w:val="0"/>
          <w:lang w:val="en-US"/>
        </w:rPr>
        <w:t>Research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Heading 3"/>
        <w:keepNext w:val="0"/>
        <w:keepLines w:val="0"/>
        <w:shd w:val="clear" w:color="auto" w:fill="f2f6f9"/>
        <w:spacing w:before="0" w:after="20" w:line="288" w:lineRule="auto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"https://www.citizensadvice.org.uk/advisernet/consumer/energy/energy-supply/get-a-better-energy-deal/switching-energy-supplier/"</w:instrText>
      </w:r>
      <w:r>
        <w:rPr>
          <w:rStyle w:val="Hyperlink.0"/>
        </w:rPr>
        <w:fldChar w:fldCharType="separate" w:fldLock="0"/>
      </w:r>
      <w:bookmarkStart w:name="_cffvw7hullyc" w:id="0"/>
      <w:r>
        <w:rPr>
          <w:rStyle w:val="Hyperlink.0"/>
          <w:rtl w:val="0"/>
          <w:lang w:val="en-US"/>
        </w:rPr>
        <w:t>Switch energy supplier</w:t>
      </w:r>
      <w:r>
        <w:rPr/>
        <w:fldChar w:fldCharType="end" w:fldLock="0"/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"https://www.citizensadvice.org.uk/advisernet/consumer/energy/energy-supply/get-a-better-energy-deal/switching-energy-supplier/"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https://www.citizensadvice.org.uk/advisernet/consumer/energy/energy-supply/get-a-better-energy-deal/switching-energy-supplier/</w:t>
      </w:r>
      <w:r>
        <w:rPr/>
        <w:fldChar w:fldCharType="end" w:fldLock="0"/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"https://energycompare.citizensadvice.org.uk/"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https://energycompare.citizensadvice.org.uk/</w:t>
      </w:r>
      <w:r>
        <w:rPr/>
        <w:fldChar w:fldCharType="end" w:fldLock="0"/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  <w:rtl w:val="0"/>
          <w:lang w:val="en-US"/>
        </w:rPr>
        <w:t>Winter Fuel Payment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"https://www.citizensadvice.org.uk/advisernet/consumer/energy/energy-supply/get-help-paying-your-bills/grants-and-benefits-to-help-you-pay-your-energy-bills/#h-winter-fuel-payment"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https://www.citizensadvice.org.uk/advisernet/consumer/energy/energy-supply/get-help-paying-your-bills/grants-and-benefits-to-help-you-pay-your-energy-bills/#h-winter-fuel-payment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  <w:rtl w:val="0"/>
          <w:lang w:val="en-US"/>
        </w:rPr>
        <w:t>Warm Home Discount</w:t>
      </w:r>
    </w:p>
    <w:p>
      <w:pPr>
        <w:pStyle w:val="Body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"https://www.citizensadvice.org.uk/advisernet/consumer/energy/energy-supply/get-help-paying-your-bills/grants-and-benefits-to-help-you-pay-your-energy-bills/#h-warm-home-discount-scheme"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https://www.citizensadvice.org.uk/advisernet/consumer/energy/energy-supply/get-help-paying-your-bills/grants-and-benefits-to-help-you-pay-your-energy-bills/#h-warm-home-discount-scheme</w:t>
      </w:r>
      <w:r>
        <w:rPr/>
        <w:fldChar w:fldCharType="end" w:fldLock="0"/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"https://www.gov.uk/the-warm-home-discount-scheme"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https://www.gov.uk/the-warm-home-discount-scheme</w:t>
      </w:r>
      <w:r>
        <w:rPr/>
        <w:fldChar w:fldCharType="end" w:fldLock="0"/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  <w:rtl w:val="0"/>
          <w:lang w:val="en-US"/>
        </w:rPr>
        <w:t>Cold Weather Payment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"https://www.citizensadvice.org.uk/advisernet/consumer/energy/energy-supply/get-help-paying-your-bills/grants-and-benefits-to-help-you-pay-your-energy-bills/#h-cold-weather-payments"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https://www.citizensadvice.org.uk/advisernet/consumer/energy/energy-supply/get-help-paying-your-bills/grants-and-benefits-to-help-you-pay-your-energy-bills/#h-cold-weather-payments</w:t>
      </w:r>
      <w:r>
        <w:rPr/>
        <w:fldChar w:fldCharType="end" w:fldLock="0"/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  <w:rtl w:val="0"/>
          <w:lang w:val="en-US"/>
        </w:rPr>
        <w:t>Priority Services Register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f2f6f9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"https://www.citizensadvice.org.uk/advisernet/consumer/energy/energy-supply/get-help-paying-your-bills/getting-extra-support-from-your-energy-supplier/"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https://www.citizensadvice.org.uk/advisernet/consumer/energy/energy-supply/get-help-paying-your-bills/getting-extra-support-from-your-energy-supplier/</w:t>
      </w:r>
      <w:r>
        <w:rPr/>
        <w:fldChar w:fldCharType="end" w:fldLock="0"/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f2f6f9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  <w:rtl w:val="0"/>
          <w:lang w:val="en-US"/>
        </w:rPr>
        <w:t>Grants to help pay off your energy debts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"https://www.citizensadvice.org.uk/advisernet/consumer/energy/energy-supply/get-help-paying-your-bills/grants-and-benefits-to-help-you-pay-your-energy-bills/#h--a-name-grants_to_help_pay_energy_debts-a-grants-to-help-pay-off-your-energy-debts"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https://www.citizensadvice.org.uk/advisernet/consumer/energy/energy-supply/get-help-paying-your-bills/grants-and-benefits-to-help-you-pay-your-energy-bills/#h--a-name-grants_to_help_pay_energy_debts-a-grants-to-help-pay-off-your-energy-debts</w:t>
      </w:r>
      <w:r>
        <w:rPr/>
        <w:fldChar w:fldCharType="end" w:fldLock="0"/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"https://www.simpleenergyadvice.org.uk/grants"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https://www.simpleenergyadvice.org.uk/grants</w:t>
      </w:r>
      <w:r>
        <w:rPr/>
        <w:fldChar w:fldCharType="end" w:fldLock="0"/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  <w:rtl w:val="0"/>
          <w:lang w:val="en-US"/>
        </w:rPr>
        <w:t>Energy efficiency measures</w:t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"https://www.gov.uk/improve-energy-efficiency"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https://www.gov.uk/improve-energy-efficiency</w:t>
      </w:r>
      <w:r>
        <w:rPr/>
        <w:fldChar w:fldCharType="end" w:fldLock="0"/>
      </w: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  <w:rtl w:val="0"/>
          <w:lang w:val="en-US"/>
        </w:rPr>
        <w:t>Benefit entitlement checks</w:t>
      </w: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  <w:rtl w:val="0"/>
          <w:lang w:val="en-US"/>
        </w:rPr>
        <w:t>Use CAB QBC calculator or</w:t>
      </w: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"https://www.entitledto.co.uk/benefits-calculator/Intro/Home?cid=01c7bf4d-3c3e-4457-9952-7225a2fe9028"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https://www.entitledto.co.uk/benefits-calculator/Intro/Home?cid=01c7bf4d-3c3e-4457-9952-7225a2fe9028</w:t>
      </w:r>
      <w:r>
        <w:rPr/>
        <w:fldChar w:fldCharType="end" w:fldLock="0"/>
      </w: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"https://benefits-calculator.turn2us.org.uk/AboutYou"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https://benefits-calculator.turn2us.org.uk/AboutYou</w:t>
      </w:r>
      <w:r>
        <w:rPr/>
        <w:fldChar w:fldCharType="end" w:fldLock="0"/>
      </w: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  <w:rtl w:val="0"/>
          <w:lang w:val="en-US"/>
        </w:rPr>
        <w:t xml:space="preserve">Complaints or customer service </w:t>
      </w: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</w:rPr>
      </w:pP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"https://www.citizensadvice.org.uk/advisernet/consumer/energy/energy-supply/complain-about-an-energy-company/complain-to-your-energy-supplier/"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https://www.citizensadvice.org.uk/advisernet/consumer/energy/energy-supply/complain-about-an-energy-company/complain-to-your-energy-supplier/</w:t>
      </w:r>
      <w:r>
        <w:rPr/>
        <w:fldChar w:fldCharType="end" w:fldLock="0"/>
      </w: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"https://www.citizensadvice.org.uk/advisernet/consumer/energy/energy-supply/complain-about-an-energy-company/letter-to-complain-to-your-energy-supplier/"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https://www.citizensadvice.org.uk/advisernet/consumer/energy/energy-supply/complain-about-an-energy-company/letter-to-complain-to-your-energy-supplier/</w:t>
      </w:r>
      <w:r>
        <w:rPr/>
        <w:fldChar w:fldCharType="end" w:fldLock="0"/>
      </w: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"https://www.citizensadvice.org.uk/advisernet/consumer/energy/energy-supply/complain-about-an-energy-company/complain-to-the-energy-ombudsman/"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https://www.citizensadvice.org.uk/advisernet/consumer/energy/energy-supply/complain-about-an-energy-company/complain-to-the-energy-ombudsman/</w:t>
      </w:r>
      <w:r>
        <w:rPr/>
        <w:fldChar w:fldCharType="end" w:fldLock="0"/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  <w:shd w:val="clear" w:color="auto" w:fill="e3f4ff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shd w:val="clear" w:color="auto" w:fill="e3f4ff"/>
          <w:rtl w:val="0"/>
          <w:lang w:val="en-US"/>
        </w:rPr>
        <w:t>Other Information Sources</w:t>
      </w:r>
    </w:p>
    <w:p>
      <w:pPr>
        <w:pStyle w:val="Body"/>
        <w:spacing w:before="320" w:after="200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"https://www.simpleenergyadvice.org.uk/"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https://www.simpleenergyadvice.org.uk/</w:t>
      </w:r>
      <w:r>
        <w:rPr/>
        <w:fldChar w:fldCharType="end" w:fldLock="0"/>
      </w:r>
    </w:p>
    <w:p>
      <w:pPr>
        <w:pStyle w:val="Body"/>
        <w:spacing w:before="320" w:after="200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"https://docs.google.com/presentation/d/e/2PACX-1vTSZ5hWjpsya1hBsbxQRfUC2YnuKHzbJk20FDfsJlz3iVBVGLtCLnyRGv7WqYrNbKrA2jcpqpYU16KM/pub?start=false&amp;loop=false&amp;delayms=3000&amp;slide=id.g40bfee8543_0_281"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https://docs.google.com/presentation/d/e/2PACX-1vTSZ5hWjpsya1hBsbxQRfUC2YnuKHzbJk20FDfsJlz3iVBVGLtCLnyRGv7WqYrNbKrA2jcpqpYU16KM/pub?start=false&amp;loop=false&amp;delayms=3000&amp;slide=id.g40bfee8543_0_281</w:t>
      </w:r>
      <w:r>
        <w:rPr/>
        <w:fldChar w:fldCharType="end" w:fldLock="0"/>
      </w:r>
    </w:p>
    <w:p>
      <w:pPr>
        <w:pStyle w:val="Body"/>
        <w:spacing w:line="240" w:lineRule="auto"/>
        <w:jc w:val="center"/>
        <w:rPr>
          <w:rStyle w:val="None"/>
          <w:rFonts w:ascii="Open Sans" w:cs="Open Sans" w:hAnsi="Open Sans" w:eastAsia="Open Sans"/>
          <w:b w:val="1"/>
          <w:bCs w:val="1"/>
          <w:sz w:val="28"/>
          <w:szCs w:val="28"/>
        </w:rPr>
      </w:pPr>
    </w:p>
    <w:p>
      <w:pPr>
        <w:pStyle w:val="Body"/>
        <w:spacing w:line="240" w:lineRule="auto"/>
        <w:jc w:val="center"/>
        <w:rPr>
          <w:rStyle w:val="None"/>
          <w:rFonts w:ascii="Open Sans" w:cs="Open Sans" w:hAnsi="Open Sans" w:eastAsia="Open Sans"/>
          <w:b w:val="1"/>
          <w:bCs w:val="1"/>
          <w:sz w:val="28"/>
          <w:szCs w:val="28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8"/>
          <w:szCs w:val="28"/>
          <w:rtl w:val="0"/>
          <w:lang w:val="en-US"/>
        </w:rPr>
        <w:t>Advice Issue code(s)</w:t>
      </w:r>
    </w:p>
    <w:p>
      <w:pPr>
        <w:pStyle w:val="Body"/>
        <w:spacing w:line="240" w:lineRule="auto"/>
        <w:jc w:val="center"/>
        <w:rPr>
          <w:rStyle w:val="None"/>
          <w:rFonts w:ascii="Open Sans" w:cs="Open Sans" w:hAnsi="Open Sans" w:eastAsia="Open Sans"/>
          <w:b w:val="1"/>
          <w:bCs w:val="1"/>
          <w:sz w:val="28"/>
          <w:szCs w:val="28"/>
        </w:rPr>
      </w:pP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"https://docs.google.com/document/d/1t_VtINLEg89TA9Wo8rFV3W8IDxr-J2wp7IIrsW_dM5I/edit"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https://docs.google.com/document/d/1t_VtINLEg89TA9Wo8rFV3W8IDxr-J2wp7IIrsW_dM5I/edit</w:t>
      </w:r>
      <w:r>
        <w:rPr/>
        <w:fldChar w:fldCharType="end" w:fldLock="0"/>
      </w: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jc w:val="center"/>
        <w:rPr>
          <w:rStyle w:val="None"/>
          <w:rFonts w:ascii="Open Sans" w:cs="Open Sans" w:hAnsi="Open Sans" w:eastAsia="Open Sans"/>
          <w:b w:val="1"/>
          <w:bCs w:val="1"/>
          <w:sz w:val="28"/>
          <w:szCs w:val="28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8"/>
          <w:szCs w:val="28"/>
          <w:rtl w:val="0"/>
          <w:lang w:val="en-US"/>
        </w:rPr>
        <w:t>Case recording Guidance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"https://docs.google.com/document/d/1ja2JsGCX-oJHK9cnLhLqGxAnUFI9hbEGuF-nq9F1fT8/edit"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https://docs.google.com/document/d/1ja2JsGCX-oJHK9cnLhLqGxAnUFI9hbEGuF-nq9F1fT8/edit</w:t>
      </w:r>
      <w:r>
        <w:rPr/>
        <w:fldChar w:fldCharType="end" w:fldLock="0"/>
      </w:r>
    </w:p>
    <w:p>
      <w:pPr>
        <w:pStyle w:val="Body"/>
        <w:spacing w:line="240" w:lineRule="auto"/>
        <w:jc w:val="center"/>
        <w:rPr>
          <w:rStyle w:val="None"/>
          <w:rFonts w:ascii="Open Sans" w:cs="Open Sans" w:hAnsi="Open Sans" w:eastAsia="Open Sans"/>
          <w:b w:val="1"/>
          <w:bCs w:val="1"/>
          <w:sz w:val="28"/>
          <w:szCs w:val="28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8"/>
          <w:szCs w:val="28"/>
          <w:rtl w:val="0"/>
          <w:lang w:val="fr-FR"/>
        </w:rPr>
        <w:t>Consents</w:t>
      </w:r>
    </w:p>
    <w:p>
      <w:pPr>
        <w:pStyle w:val="Body"/>
        <w:spacing w:line="240" w:lineRule="auto"/>
        <w:jc w:val="center"/>
        <w:rPr>
          <w:rStyle w:val="None"/>
          <w:rFonts w:ascii="Open Sans" w:cs="Open Sans" w:hAnsi="Open Sans" w:eastAsia="Open Sans"/>
          <w:b w:val="1"/>
          <w:bCs w:val="1"/>
          <w:sz w:val="28"/>
          <w:szCs w:val="28"/>
        </w:rPr>
      </w:pPr>
    </w:p>
    <w:p>
      <w:pPr>
        <w:pStyle w:val="Body"/>
        <w:spacing w:line="240" w:lineRule="auto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"https://docs.google.com/document/d/1FjVlV4SreSxRrxMJovI6eI1-0-ItG_3HyhlsPiZZbfc/edit"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https://docs.google.com/document/d/1FjVlV4SreSxRrxMJovI6eI1-0-ItG_3HyhlsPiZZbfc/edit</w:t>
      </w:r>
      <w:r>
        <w:rPr/>
        <w:fldChar w:fldCharType="end" w:fldLock="0"/>
      </w:r>
    </w:p>
    <w:p>
      <w:pPr>
        <w:pStyle w:val="Body"/>
        <w:spacing w:line="240" w:lineRule="auto"/>
        <w:jc w:val="center"/>
        <w:rPr>
          <w:rStyle w:val="None"/>
          <w:rFonts w:ascii="Open Sans" w:cs="Open Sans" w:hAnsi="Open Sans" w:eastAsia="Open Sans"/>
          <w:b w:val="1"/>
          <w:bCs w:val="1"/>
          <w:sz w:val="28"/>
          <w:szCs w:val="28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Body"/>
        <w:spacing w:line="240" w:lineRule="auto"/>
        <w:jc w:val="center"/>
        <w:rPr>
          <w:rStyle w:val="None"/>
          <w:rFonts w:ascii="Open Sans" w:cs="Open Sans" w:hAnsi="Open Sans" w:eastAsia="Open Sans"/>
          <w:b w:val="1"/>
          <w:bCs w:val="1"/>
          <w:sz w:val="28"/>
          <w:szCs w:val="28"/>
        </w:rPr>
      </w:pPr>
    </w:p>
    <w:p>
      <w:pPr>
        <w:pStyle w:val="Body"/>
        <w:spacing w:line="240" w:lineRule="auto"/>
        <w:jc w:val="center"/>
        <w:rPr>
          <w:rStyle w:val="None"/>
          <w:rFonts w:ascii="Open Sans" w:cs="Open Sans" w:hAnsi="Open Sans" w:eastAsia="Open Sans"/>
          <w:b w:val="1"/>
          <w:bCs w:val="1"/>
          <w:sz w:val="28"/>
          <w:szCs w:val="28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8"/>
          <w:szCs w:val="28"/>
          <w:rtl w:val="0"/>
          <w:lang w:val="it-IT"/>
        </w:rPr>
        <w:t>Custom Questions</w:t>
      </w:r>
      <w:bookmarkEnd w:id="0"/>
    </w:p>
    <w:p>
      <w:pPr>
        <w:pStyle w:val="Heading 2"/>
        <w:keepNext w:val="0"/>
        <w:keepLines w:val="0"/>
        <w:spacing w:before="0" w:after="80" w:line="288" w:lineRule="auto"/>
        <w:rPr>
          <w:rStyle w:val="None"/>
          <w:rFonts w:ascii="Open Sans" w:cs="Open Sans" w:hAnsi="Open Sans" w:eastAsia="Open Sans"/>
          <w:b w:val="1"/>
          <w:bCs w:val="1"/>
          <w:outline w:val="0"/>
          <w:color w:val="4d4d4d"/>
          <w:sz w:val="28"/>
          <w:szCs w:val="28"/>
          <w:u w:color="4d4d4d"/>
          <w14:textFill>
            <w14:solidFill>
              <w14:srgbClr w14:val="4D4D4D"/>
            </w14:solidFill>
          </w14:textFill>
        </w:rPr>
      </w:pPr>
      <w:bookmarkStart w:name="_wgjv8k2m6elv" w:id="1"/>
      <w:bookmarkEnd w:id="1"/>
      <w:r>
        <w:rPr>
          <w:rStyle w:val="None"/>
          <w:rFonts w:ascii="Open Sans" w:cs="Open Sans" w:hAnsi="Open Sans" w:eastAsia="Open Sans"/>
          <w:b w:val="1"/>
          <w:bCs w:val="1"/>
          <w:outline w:val="0"/>
          <w:color w:val="4d4d4d"/>
          <w:sz w:val="28"/>
          <w:szCs w:val="28"/>
          <w:u w:color="4d4d4d"/>
          <w:rtl w:val="0"/>
          <w14:textFill>
            <w14:solidFill>
              <w14:srgbClr w14:val="4D4D4D"/>
            </w14:solidFill>
          </w14:textFill>
        </w:rPr>
        <w:t>E</w:t>
      </w:r>
      <w:r>
        <w:rPr>
          <w:rStyle w:val="None"/>
          <w:rFonts w:ascii="Open Sans" w:cs="Open Sans" w:hAnsi="Open Sans" w:eastAsia="Open Sans"/>
          <w:b w:val="1"/>
          <w:bCs w:val="1"/>
          <w:outline w:val="0"/>
          <w:color w:val="4d4d4d"/>
          <w:sz w:val="28"/>
          <w:szCs w:val="28"/>
          <w:u w:color="4d4d4d"/>
          <w:rtl w:val="0"/>
          <w:lang w:val="es-ES_tradnl"/>
          <w14:textFill>
            <w14:solidFill>
              <w14:srgbClr w14:val="4D4D4D"/>
            </w14:solidFill>
          </w14:textFill>
        </w:rPr>
        <w:t>AP - Fuel Poverty</w:t>
      </w:r>
    </w:p>
    <w:p>
      <w:pPr>
        <w:pStyle w:val="Body"/>
        <w:spacing w:after="240"/>
        <w:rPr>
          <w:rStyle w:val="None"/>
          <w:rFonts w:ascii="Times New Roman" w:cs="Times New Roman" w:hAnsi="Times New Roman" w:eastAsia="Times New Roman"/>
          <w:outline w:val="0"/>
          <w:color w:val="666666"/>
          <w:sz w:val="21"/>
          <w:szCs w:val="21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666666"/>
          <w:sz w:val="21"/>
          <w:szCs w:val="21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>The energy advice programme is targeted at clients that are in or at risk of fuel poverty.</w:t>
      </w:r>
    </w:p>
    <w:p>
      <w:pPr>
        <w:pStyle w:val="Body"/>
        <w:spacing w:after="240"/>
        <w:rPr>
          <w:rStyle w:val="None"/>
          <w:rFonts w:ascii="Times New Roman" w:cs="Times New Roman" w:hAnsi="Times New Roman" w:eastAsia="Times New Roman"/>
          <w:outline w:val="0"/>
          <w:color w:val="666666"/>
          <w:sz w:val="21"/>
          <w:szCs w:val="21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666666"/>
          <w:sz w:val="21"/>
          <w:szCs w:val="21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>Please complete this question to demonstrate this.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outline w:val="0"/>
          <w:color w:val="666666"/>
          <w:sz w:val="21"/>
          <w:szCs w:val="21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one"/>
          <w:rFonts w:ascii="Open Sans" w:cs="Open Sans" w:hAnsi="Open Sans" w:eastAsia="Open Sans"/>
          <w:b w:val="1"/>
          <w:bCs w:val="1"/>
          <w:outline w:val="0"/>
          <w:color w:val="666666"/>
          <w:sz w:val="21"/>
          <w:szCs w:val="21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>Is the client fuel poor or at risk of fuel poverty?</w:t>
      </w:r>
    </w:p>
    <w:p>
      <w:pPr>
        <w:pStyle w:val="Body"/>
        <w:rPr>
          <w:rStyle w:val="None"/>
          <w:rFonts w:ascii="Times New Roman" w:cs="Times New Roman" w:hAnsi="Times New Roman" w:eastAsia="Times New Roman"/>
          <w:sz w:val="48"/>
          <w:szCs w:val="48"/>
        </w:rPr>
      </w:pPr>
    </w:p>
    <w:p>
      <w:pPr>
        <w:pStyle w:val="Heading 2"/>
        <w:keepNext w:val="0"/>
        <w:keepLines w:val="0"/>
        <w:spacing w:before="0" w:after="80" w:line="288" w:lineRule="auto"/>
        <w:rPr>
          <w:rStyle w:val="None"/>
          <w:rFonts w:ascii="Open Sans" w:cs="Open Sans" w:hAnsi="Open Sans" w:eastAsia="Open Sans"/>
          <w:b w:val="1"/>
          <w:bCs w:val="1"/>
          <w:outline w:val="0"/>
          <w:color w:val="4d4d4d"/>
          <w:sz w:val="28"/>
          <w:szCs w:val="28"/>
          <w:u w:color="4d4d4d"/>
          <w14:textFill>
            <w14:solidFill>
              <w14:srgbClr w14:val="4D4D4D"/>
            </w14:solidFill>
          </w14:textFill>
        </w:rPr>
      </w:pPr>
      <w:bookmarkStart w:name="_in28c9e9v7k" w:id="2"/>
      <w:bookmarkEnd w:id="2"/>
      <w:r>
        <w:rPr>
          <w:rStyle w:val="None"/>
          <w:rFonts w:ascii="Open Sans" w:cs="Open Sans" w:hAnsi="Open Sans" w:eastAsia="Open Sans"/>
          <w:b w:val="1"/>
          <w:bCs w:val="1"/>
          <w:outline w:val="0"/>
          <w:color w:val="4d4d4d"/>
          <w:sz w:val="28"/>
          <w:szCs w:val="28"/>
          <w:u w:color="4d4d4d"/>
          <w:rtl w:val="0"/>
          <w14:textFill>
            <w14:solidFill>
              <w14:srgbClr w14:val="4D4D4D"/>
            </w14:solidFill>
          </w14:textFill>
        </w:rPr>
        <w:t>E</w:t>
      </w:r>
      <w:r>
        <w:rPr>
          <w:rStyle w:val="None"/>
          <w:rFonts w:ascii="Open Sans" w:cs="Open Sans" w:hAnsi="Open Sans" w:eastAsia="Open Sans"/>
          <w:b w:val="1"/>
          <w:bCs w:val="1"/>
          <w:outline w:val="0"/>
          <w:color w:val="4d4d4d"/>
          <w:sz w:val="28"/>
          <w:szCs w:val="28"/>
          <w:u w:color="4d4d4d"/>
          <w:rtl w:val="0"/>
          <w:lang w:val="en-US"/>
          <w14:textFill>
            <w14:solidFill>
              <w14:srgbClr w14:val="4D4D4D"/>
            </w14:solidFill>
          </w14:textFill>
        </w:rPr>
        <w:t>nergy Advice Programme - Referral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sz w:val="28"/>
          <w:szCs w:val="28"/>
        </w:rPr>
      </w:pPr>
      <w:r>
        <w:rPr>
          <w:rStyle w:val="None"/>
          <w:rFonts w:ascii="Open Sans" w:cs="Open Sans" w:hAnsi="Open Sans" w:eastAsia="Open Sans"/>
          <w:b w:val="1"/>
          <w:bCs w:val="1"/>
          <w:outline w:val="0"/>
          <w:color w:val="666666"/>
          <w:sz w:val="21"/>
          <w:szCs w:val="21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>Who referred the client?</w:t>
      </w:r>
    </w:p>
    <w:p>
      <w:pPr>
        <w:pStyle w:val="Body"/>
        <w:spacing w:line="240" w:lineRule="auto"/>
        <w:jc w:val="center"/>
        <w:rPr>
          <w:rStyle w:val="None"/>
          <w:rFonts w:ascii="Open Sans" w:cs="Open Sans" w:hAnsi="Open Sans" w:eastAsia="Open Sans"/>
          <w:b w:val="1"/>
          <w:bCs w:val="1"/>
          <w:sz w:val="28"/>
          <w:szCs w:val="28"/>
        </w:rPr>
      </w:pPr>
    </w:p>
    <w:p>
      <w:pPr>
        <w:pStyle w:val="Body"/>
        <w:spacing w:line="240" w:lineRule="auto"/>
        <w:jc w:val="center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spacing w:line="240" w:lineRule="auto"/>
        <w:jc w:val="center"/>
      </w:pPr>
      <w:r>
        <w:rPr>
          <w:rStyle w:val="None"/>
          <w:rFonts w:ascii="Open Sans" w:cs="Open Sans" w:hAnsi="Open Sans" w:eastAsia="Open Sans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Open Sans" w:cs="Open Sans" w:hAnsi="Open Sans" w:eastAsia="Open Sans"/>
      <w:b w:val="1"/>
      <w:bCs w:val="1"/>
      <w:outline w:val="0"/>
      <w:color w:val="004b88"/>
      <w:sz w:val="26"/>
      <w:szCs w:val="26"/>
      <w:u w:color="004b88"/>
      <w:shd w:val="clear" w:color="auto" w:fill="e3f4ff"/>
      <w14:textFill>
        <w14:solidFill>
          <w14:srgbClr w14:val="004B88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2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14:textOutline>
        <w14:noFill/>
      </w14:textOutline>
      <w14:textFill>
        <w14:solidFill>
          <w14:srgbClr w14:val="434343"/>
        </w14:solidFill>
      </w14:textFill>
    </w:rPr>
  </w:style>
  <w:style w:type="character" w:styleId="Hyperlink.1">
    <w:name w:val="Hyperlink.1"/>
    <w:basedOn w:val="None"/>
    <w:next w:val="Hyperlink.1"/>
    <w:rPr>
      <w:rFonts w:ascii="Open Sans" w:cs="Open Sans" w:hAnsi="Open Sans" w:eastAsia="Open Sans"/>
      <w:b w:val="1"/>
      <w:bCs w:val="1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rFonts w:ascii="Open Sans" w:cs="Open Sans" w:hAnsi="Open Sans" w:eastAsia="Open Sans"/>
      <w:b w:val="1"/>
      <w:bCs w:val="1"/>
      <w:outline w:val="0"/>
      <w:color w:val="1155cc"/>
      <w:sz w:val="24"/>
      <w:szCs w:val="24"/>
      <w:u w:val="single" w:color="1155cc"/>
      <w:shd w:val="clear" w:color="auto" w:fill="f2f6f9"/>
      <w14:textFill>
        <w14:solidFill>
          <w14:srgbClr w14:val="1155CC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